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8D3C1D">
        <w:t>7</w:t>
      </w:r>
      <w:r w:rsidR="00E44790">
        <w:t>4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E8025D">
        <w:t>24</w:t>
      </w:r>
      <w:r w:rsidRPr="00514888">
        <w:t xml:space="preserve"> de </w:t>
      </w:r>
      <w:r w:rsidR="008D3C1D">
        <w:t>junho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E8025D" w:rsidP="005C6E75">
      <w:pPr>
        <w:tabs>
          <w:tab w:val="left" w:pos="3402"/>
        </w:tabs>
        <w:ind w:left="3402"/>
        <w:jc w:val="both"/>
      </w:pPr>
      <w:r>
        <w:t xml:space="preserve">Dispõe sobre denominação de Logradouro Público 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9A237F" w:rsidRDefault="00923B0D" w:rsidP="00E8025D">
      <w:pPr>
        <w:ind w:firstLine="851"/>
        <w:jc w:val="both"/>
      </w:pPr>
      <w:r>
        <w:rPr>
          <w:b/>
        </w:rPr>
        <w:t xml:space="preserve">Art. 1°- </w:t>
      </w:r>
      <w:r w:rsidR="00E8025D">
        <w:t xml:space="preserve">Passa a denominar-se </w:t>
      </w:r>
      <w:r w:rsidR="00E44790">
        <w:t>Rodoviária João Evangelista da Fonseca, o antigo Barracão, na</w:t>
      </w:r>
      <w:r w:rsidR="00E8025D">
        <w:t xml:space="preserve"> Praça Barão de Santa Bárbara</w:t>
      </w:r>
      <w:r w:rsidR="00E44790">
        <w:t>, onde estão sendo construídos também os banheiros públicos.</w:t>
      </w: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3330A6">
        <w:t xml:space="preserve"> </w:t>
      </w:r>
      <w:r w:rsidR="008B05E9">
        <w:t>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8025D">
        <w:t>24</w:t>
      </w:r>
      <w:r w:rsidR="00F307B4">
        <w:t xml:space="preserve"> de </w:t>
      </w:r>
      <w:r w:rsidR="008D3C1D">
        <w:t>junho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11C89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E4387"/>
    <w:rsid w:val="00D057A6"/>
    <w:rsid w:val="00D22DA6"/>
    <w:rsid w:val="00D258E8"/>
    <w:rsid w:val="00D57930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44790"/>
    <w:rsid w:val="00E51FCA"/>
    <w:rsid w:val="00E550A1"/>
    <w:rsid w:val="00E65608"/>
    <w:rsid w:val="00E8025D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2B76-49A4-4E54-A5CA-EBBA78A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2019-10-24T14:13:00Z</dcterms:created>
  <dcterms:modified xsi:type="dcterms:W3CDTF">2019-10-24T14:15:00Z</dcterms:modified>
</cp:coreProperties>
</file>