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DF" w:rsidRPr="007D3677" w:rsidRDefault="00182570" w:rsidP="00F57C05">
      <w:pPr>
        <w:ind w:firstLine="426"/>
        <w:jc w:val="both"/>
        <w:rPr>
          <w:rFonts w:ascii="Calibri" w:hAnsi="Calibri" w:cs="Arial"/>
          <w:b/>
        </w:rPr>
      </w:pPr>
      <w:r w:rsidRPr="007D3677">
        <w:rPr>
          <w:rFonts w:ascii="Calibri" w:hAnsi="Calibri" w:cs="Arial"/>
          <w:b/>
        </w:rPr>
        <w:t>Lei de n° 657 de 09 de junho</w:t>
      </w:r>
      <w:r w:rsidR="00C8338B" w:rsidRPr="007D3677">
        <w:rPr>
          <w:rFonts w:ascii="Calibri" w:hAnsi="Calibri" w:cs="Arial"/>
          <w:b/>
        </w:rPr>
        <w:t xml:space="preserve"> de 2020</w:t>
      </w:r>
    </w:p>
    <w:p w:rsidR="00C8338B" w:rsidRPr="007D3677" w:rsidRDefault="00C8338B" w:rsidP="00F57C05">
      <w:pPr>
        <w:ind w:firstLine="426"/>
        <w:jc w:val="both"/>
        <w:rPr>
          <w:rFonts w:ascii="Calibri" w:hAnsi="Calibri" w:cs="Arial"/>
        </w:rPr>
      </w:pPr>
    </w:p>
    <w:p w:rsidR="00C8338B" w:rsidRPr="007D3677" w:rsidRDefault="00182570" w:rsidP="00F57C05">
      <w:pPr>
        <w:spacing w:line="240" w:lineRule="auto"/>
        <w:ind w:left="425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</w:rPr>
        <w:t>Dispõe sobre as diretrizes orçamentárias para o exercício financeiro de 2021 e estabelece outras providências.</w:t>
      </w:r>
    </w:p>
    <w:p w:rsidR="00C8338B" w:rsidRPr="007D3677" w:rsidRDefault="00C8338B" w:rsidP="00F57C05">
      <w:pPr>
        <w:spacing w:line="240" w:lineRule="auto"/>
        <w:ind w:left="2835" w:firstLine="426"/>
        <w:jc w:val="both"/>
        <w:rPr>
          <w:rFonts w:ascii="Calibri" w:hAnsi="Calibri" w:cs="Arial"/>
        </w:rPr>
      </w:pPr>
    </w:p>
    <w:p w:rsidR="00F57C05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</w:rPr>
        <w:t>A Câmara Municipal de Santa Bárbara do Monte Verde aprova e o Prefeito Municipal sanciona a seguinte Lei:</w:t>
      </w:r>
    </w:p>
    <w:p w:rsidR="00F57C05" w:rsidRPr="007D3677" w:rsidRDefault="00F57C05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</w:p>
    <w:p w:rsidR="00182570" w:rsidRPr="007D3677" w:rsidRDefault="00182570" w:rsidP="00F57C05">
      <w:pPr>
        <w:spacing w:line="240" w:lineRule="auto"/>
        <w:ind w:right="-143"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CAPÍTULO I</w:t>
      </w:r>
    </w:p>
    <w:p w:rsidR="00F57C05" w:rsidRPr="007D3677" w:rsidRDefault="00182570" w:rsidP="00F57C05">
      <w:pPr>
        <w:spacing w:after="0" w:line="360" w:lineRule="auto"/>
        <w:ind w:right="-143"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DAS DISPOSIÇÕES PRELIMINARES</w:t>
      </w:r>
    </w:p>
    <w:p w:rsidR="00F57C05" w:rsidRPr="007D3677" w:rsidRDefault="00F57C05" w:rsidP="00F57C05">
      <w:pPr>
        <w:spacing w:after="0" w:line="360" w:lineRule="auto"/>
        <w:ind w:right="-143" w:firstLine="426"/>
        <w:jc w:val="center"/>
        <w:rPr>
          <w:rFonts w:ascii="Calibri" w:hAnsi="Calibri" w:cs="Arial"/>
        </w:rPr>
      </w:pPr>
    </w:p>
    <w:p w:rsidR="00302CFE" w:rsidRPr="007D3677" w:rsidRDefault="00302CFE" w:rsidP="00F57C05">
      <w:pPr>
        <w:spacing w:after="0" w:line="36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Art.1°</w:t>
      </w:r>
      <w:r w:rsidR="00C8338B" w:rsidRPr="007D3677">
        <w:rPr>
          <w:rFonts w:ascii="Calibri" w:hAnsi="Calibri" w:cs="Arial"/>
          <w:b/>
        </w:rPr>
        <w:t xml:space="preserve"> </w:t>
      </w:r>
      <w:r w:rsidR="00182570" w:rsidRPr="007D3677">
        <w:rPr>
          <w:rFonts w:ascii="Calibri" w:hAnsi="Calibri" w:cs="Arial"/>
        </w:rPr>
        <w:t>Em cumprimento às disposições da Constituição Federal, Constituição Estadual, da Lei Orgânica Municipal e da Lei Complementar Federal nº 101, de 04 de maio de 2000, ficam estabelecidas as diretrizes orçamentárias do Município de Santa Bárbara do Monte Verde para o exercício de 2021, compreendendo:</w:t>
      </w:r>
    </w:p>
    <w:p w:rsidR="00F57C05" w:rsidRPr="007D3677" w:rsidRDefault="00F57C05" w:rsidP="00F57C05">
      <w:pPr>
        <w:spacing w:line="240" w:lineRule="auto"/>
        <w:ind w:right="-143" w:firstLine="426"/>
        <w:jc w:val="both"/>
        <w:rPr>
          <w:rFonts w:ascii="Calibri" w:hAnsi="Calibri" w:cs="Arial"/>
          <w:b/>
        </w:rPr>
      </w:pP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 -</w:t>
      </w:r>
      <w:r w:rsidRPr="007D3677">
        <w:rPr>
          <w:rFonts w:ascii="Calibri" w:hAnsi="Calibri" w:cs="Arial"/>
        </w:rPr>
        <w:t xml:space="preserve"> as prioridades e metas da Administração Pública Municipal;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 -</w:t>
      </w:r>
      <w:r w:rsidRPr="007D3677">
        <w:rPr>
          <w:rFonts w:ascii="Calibri" w:hAnsi="Calibri" w:cs="Arial"/>
        </w:rPr>
        <w:t xml:space="preserve"> a estrutura do orçamento municipal;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III -</w:t>
      </w:r>
      <w:r w:rsidRPr="007D3677">
        <w:rPr>
          <w:rFonts w:ascii="Calibri" w:hAnsi="Calibri" w:cs="Arial"/>
        </w:rPr>
        <w:t xml:space="preserve"> a elaboração, alteração e execução orçamentária;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IV -</w:t>
      </w:r>
      <w:r w:rsidRPr="007D3677">
        <w:rPr>
          <w:rFonts w:ascii="Calibri" w:hAnsi="Calibri" w:cs="Arial"/>
        </w:rPr>
        <w:t xml:space="preserve">  as despesas de pessoal e encargos sociais;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V -</w:t>
      </w:r>
      <w:r w:rsidRPr="007D3677">
        <w:rPr>
          <w:rFonts w:ascii="Calibri" w:hAnsi="Calibri" w:cs="Arial"/>
        </w:rPr>
        <w:t xml:space="preserve"> as condições para concessão de recursos públicos;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VI -</w:t>
      </w:r>
      <w:r w:rsidRPr="007D3677">
        <w:rPr>
          <w:rFonts w:ascii="Calibri" w:hAnsi="Calibri" w:cs="Arial"/>
        </w:rPr>
        <w:t xml:space="preserve"> as alterações na legislação tributária;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VII - </w:t>
      </w:r>
      <w:r w:rsidRPr="007D3677">
        <w:rPr>
          <w:rFonts w:ascii="Calibri" w:hAnsi="Calibri" w:cs="Arial"/>
        </w:rPr>
        <w:t>as disposições sobre a dívida pública municipal; e</w:t>
      </w:r>
    </w:p>
    <w:p w:rsidR="00182570" w:rsidRPr="007D3677" w:rsidRDefault="00182570" w:rsidP="00F57C05">
      <w:pPr>
        <w:spacing w:after="0"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VIII -</w:t>
      </w:r>
      <w:r w:rsidRPr="007D3677">
        <w:rPr>
          <w:rFonts w:ascii="Calibri" w:hAnsi="Calibri" w:cs="Arial"/>
        </w:rPr>
        <w:t xml:space="preserve"> as disposições finais.</w:t>
      </w:r>
    </w:p>
    <w:p w:rsidR="00182570" w:rsidRPr="007D3677" w:rsidRDefault="00182570" w:rsidP="00F57C05">
      <w:pPr>
        <w:spacing w:after="0" w:line="240" w:lineRule="auto"/>
        <w:ind w:right="-143" w:firstLine="426"/>
        <w:jc w:val="both"/>
        <w:rPr>
          <w:rFonts w:ascii="Calibri" w:hAnsi="Calibri" w:cs="Arial"/>
        </w:rPr>
      </w:pPr>
    </w:p>
    <w:p w:rsidR="00F57C05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Parágrafo único.</w:t>
      </w:r>
      <w:r w:rsidRPr="007D3677">
        <w:rPr>
          <w:rFonts w:ascii="Calibri" w:hAnsi="Calibri" w:cs="Arial"/>
        </w:rPr>
        <w:t xml:space="preserve"> Integram esta Lei, os seguintes Anexos: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 -</w:t>
      </w:r>
      <w:r w:rsidRPr="007D3677">
        <w:rPr>
          <w:rFonts w:ascii="Calibri" w:hAnsi="Calibri" w:cs="Arial"/>
        </w:rPr>
        <w:t xml:space="preserve"> Prioridades e Metas elaboradas em conformidade com as disposições do Plano Plurianual - PPA 2018/2021;</w:t>
      </w:r>
    </w:p>
    <w:p w:rsidR="00182570" w:rsidRPr="007D3677" w:rsidRDefault="00182570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 -</w:t>
      </w:r>
      <w:r w:rsidRPr="007D3677">
        <w:rPr>
          <w:rFonts w:ascii="Calibri" w:hAnsi="Calibri" w:cs="Arial"/>
        </w:rPr>
        <w:t xml:space="preserve"> Metas Fiscais elaboradas em conformidade com os </w:t>
      </w:r>
      <w:r w:rsidR="00C02543" w:rsidRPr="007D3677">
        <w:rPr>
          <w:rFonts w:ascii="Calibri" w:hAnsi="Calibri" w:cs="Arial"/>
        </w:rPr>
        <w:t>§§1º e 2º do art. 4º, da Lei Complementar Federal nº 101, de 2000; e</w:t>
      </w:r>
    </w:p>
    <w:p w:rsidR="00C02543" w:rsidRPr="007D3677" w:rsidRDefault="00C02543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lastRenderedPageBreak/>
        <w:t>III -</w:t>
      </w:r>
      <w:r w:rsidRPr="007D3677">
        <w:rPr>
          <w:rFonts w:ascii="Calibri" w:hAnsi="Calibri" w:cs="Arial"/>
        </w:rPr>
        <w:t xml:space="preserve"> Riscos e Eventos Fiscais elaborados em conformidade com o §3º do art. 4º, da Lei Complementar Federal nº 101, de 2000.</w:t>
      </w:r>
    </w:p>
    <w:p w:rsidR="00F57C05" w:rsidRPr="007D3677" w:rsidRDefault="00F57C05" w:rsidP="00F57C05">
      <w:pPr>
        <w:spacing w:after="0" w:line="360" w:lineRule="auto"/>
        <w:ind w:right="-143" w:firstLine="426"/>
        <w:jc w:val="center"/>
        <w:rPr>
          <w:rFonts w:ascii="Calibri" w:hAnsi="Calibri" w:cs="Arial"/>
          <w:b/>
        </w:rPr>
      </w:pPr>
    </w:p>
    <w:p w:rsidR="00F57C05" w:rsidRPr="007D3677" w:rsidRDefault="00F57C05" w:rsidP="00F57C05">
      <w:pPr>
        <w:spacing w:after="0" w:line="360" w:lineRule="auto"/>
        <w:ind w:right="-143" w:firstLine="426"/>
        <w:jc w:val="center"/>
        <w:rPr>
          <w:rFonts w:ascii="Calibri" w:hAnsi="Calibri" w:cs="Arial"/>
          <w:b/>
        </w:rPr>
      </w:pPr>
    </w:p>
    <w:p w:rsidR="00C02543" w:rsidRPr="007D3677" w:rsidRDefault="00C02543" w:rsidP="00F57C05">
      <w:pPr>
        <w:spacing w:after="0" w:line="360" w:lineRule="auto"/>
        <w:ind w:right="-143"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CAPÍTULO II</w:t>
      </w:r>
    </w:p>
    <w:p w:rsidR="00F57C05" w:rsidRPr="007D3677" w:rsidRDefault="00C02543" w:rsidP="00F57C05">
      <w:pPr>
        <w:spacing w:after="0" w:line="360" w:lineRule="auto"/>
        <w:ind w:right="-143"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DAS PRIORIDADES E METAS DA ADMINISTRAÇÃO PÚBLICA MUNICIPAL</w:t>
      </w:r>
    </w:p>
    <w:p w:rsidR="00F57C05" w:rsidRPr="007D3677" w:rsidRDefault="00F57C05" w:rsidP="00F57C05">
      <w:pPr>
        <w:spacing w:after="0" w:line="360" w:lineRule="auto"/>
        <w:ind w:right="-143" w:firstLine="426"/>
        <w:jc w:val="center"/>
        <w:rPr>
          <w:rFonts w:ascii="Calibri" w:hAnsi="Calibri" w:cs="Arial"/>
        </w:rPr>
      </w:pPr>
    </w:p>
    <w:p w:rsidR="00F57C05" w:rsidRPr="007D3677" w:rsidRDefault="00F57C05" w:rsidP="00F57C05">
      <w:pPr>
        <w:spacing w:after="0" w:line="360" w:lineRule="auto"/>
        <w:ind w:right="-143" w:firstLine="426"/>
        <w:jc w:val="center"/>
        <w:rPr>
          <w:rFonts w:ascii="Calibri" w:hAnsi="Calibri" w:cs="Arial"/>
        </w:rPr>
      </w:pPr>
    </w:p>
    <w:p w:rsidR="00C8338B" w:rsidRPr="007D3677" w:rsidRDefault="00C8338B" w:rsidP="00F57C05">
      <w:pPr>
        <w:spacing w:after="0" w:line="36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 2°-</w:t>
      </w:r>
      <w:r w:rsidR="00C02543" w:rsidRPr="007D3677">
        <w:rPr>
          <w:rFonts w:ascii="Calibri" w:hAnsi="Calibri" w:cs="Arial"/>
          <w:b/>
        </w:rPr>
        <w:t xml:space="preserve"> </w:t>
      </w:r>
      <w:r w:rsidR="00C02543" w:rsidRPr="007D3677">
        <w:rPr>
          <w:rFonts w:ascii="Calibri" w:hAnsi="Calibri" w:cs="Arial"/>
        </w:rPr>
        <w:t>As prioridades e metas da Administração Pública Municipal para o exercício de 2021, atendidas as despesas que constituem obrigação constitucional e legal do Município  e as de funcionamento dos órgãos e entidades municipais, são as constantes do Anexo I desta Lei, as quais terão procedência na alocação dos recursos na lei orçamentária de 2021 e na sua execução, não se constituindo em limite à programação das despesas.</w:t>
      </w:r>
    </w:p>
    <w:p w:rsidR="00C02543" w:rsidRPr="007D3677" w:rsidRDefault="00C02543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§1º</w:t>
      </w:r>
      <w:r w:rsidRPr="007D3677">
        <w:rPr>
          <w:rFonts w:ascii="Calibri" w:hAnsi="Calibri" w:cs="Arial"/>
        </w:rPr>
        <w:t xml:space="preserve"> O orçamento Anual será elaborado em consonância com as prioridades e metas de que trata o </w:t>
      </w:r>
      <w:r w:rsidRPr="007D3677">
        <w:rPr>
          <w:rFonts w:ascii="Calibri" w:hAnsi="Calibri" w:cs="Arial"/>
          <w:b/>
        </w:rPr>
        <w:t>caput</w:t>
      </w:r>
      <w:r w:rsidRPr="007D3677">
        <w:rPr>
          <w:rFonts w:ascii="Calibri" w:hAnsi="Calibri" w:cs="Arial"/>
        </w:rPr>
        <w:t xml:space="preserve"> deste artigo e deverão estar adequadas ao Plano Plurianual - PPA 2018/2021.</w:t>
      </w:r>
    </w:p>
    <w:p w:rsidR="00C02543" w:rsidRPr="007D3677" w:rsidRDefault="00C02543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§2º</w:t>
      </w:r>
      <w:r w:rsidRPr="007D3677">
        <w:rPr>
          <w:rFonts w:ascii="Calibri" w:hAnsi="Calibri" w:cs="Arial"/>
        </w:rPr>
        <w:t xml:space="preserve"> Na elaboração e durante a execução do Orçamento</w:t>
      </w:r>
      <w:r w:rsidR="00F5163A">
        <w:rPr>
          <w:rFonts w:ascii="Calibri" w:hAnsi="Calibri" w:cs="Arial"/>
        </w:rPr>
        <w:t xml:space="preserve"> do exercício financeiro de 2021</w:t>
      </w:r>
      <w:r w:rsidRPr="007D3677">
        <w:rPr>
          <w:rFonts w:ascii="Calibri" w:hAnsi="Calibri" w:cs="Arial"/>
        </w:rPr>
        <w:t>, o Poder Executivo poderá alterar as metas estabelecidas nesta Lei, a fim de compatibilizar a despesa orçada com a receita estimada, de forma a assegurar o equilíbrio das contas públicas e o atendimento às necessidades estabelecidas.</w:t>
      </w:r>
    </w:p>
    <w:p w:rsidR="00BC6192" w:rsidRPr="007D3677" w:rsidRDefault="00C02543" w:rsidP="00F57C05">
      <w:pPr>
        <w:spacing w:line="240" w:lineRule="auto"/>
        <w:ind w:right="-143"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§3º</w:t>
      </w:r>
      <w:r w:rsidRPr="007D3677">
        <w:rPr>
          <w:rFonts w:ascii="Calibri" w:hAnsi="Calibri" w:cs="Arial"/>
        </w:rPr>
        <w:t xml:space="preserve"> Em decorrência das diretrizes orçamentárias para o exercício financeiro de 2021, serem elaboradas num período de incertezas</w:t>
      </w:r>
      <w:r w:rsidR="00F210C8" w:rsidRPr="007D3677">
        <w:rPr>
          <w:rFonts w:ascii="Calibri" w:hAnsi="Calibri" w:cs="Arial"/>
        </w:rPr>
        <w:t xml:space="preserve"> quanto suas projeções, devido a pandemia que se avança em todo o território nacional, o Poder Executivo poderá atualizar as metas fixadas no momento de envio do projeto de Lei Orçamentária.</w:t>
      </w:r>
    </w:p>
    <w:p w:rsidR="00F57C05" w:rsidRPr="007D3677" w:rsidRDefault="00F57C05" w:rsidP="00F57C05">
      <w:pPr>
        <w:spacing w:line="240" w:lineRule="auto"/>
        <w:ind w:right="-143" w:firstLine="426"/>
        <w:jc w:val="center"/>
        <w:rPr>
          <w:rFonts w:ascii="Calibri" w:hAnsi="Calibri" w:cs="Arial"/>
        </w:rPr>
      </w:pPr>
    </w:p>
    <w:p w:rsidR="0062665B" w:rsidRPr="007D3677" w:rsidRDefault="00F210C8" w:rsidP="00F57C05">
      <w:pPr>
        <w:spacing w:line="240" w:lineRule="auto"/>
        <w:ind w:right="-143"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CAPÍTULO III</w:t>
      </w:r>
    </w:p>
    <w:p w:rsidR="00F210C8" w:rsidRPr="007D3677" w:rsidRDefault="00F210C8" w:rsidP="00F57C05">
      <w:pPr>
        <w:spacing w:after="0" w:line="360" w:lineRule="auto"/>
        <w:ind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DA ESTRUTURA DO ORÇAMENTO MUNICIPAL</w:t>
      </w:r>
    </w:p>
    <w:p w:rsidR="000273E8" w:rsidRPr="007D3677" w:rsidRDefault="000273E8" w:rsidP="00F57C05">
      <w:pPr>
        <w:spacing w:line="240" w:lineRule="auto"/>
        <w:ind w:firstLine="426"/>
        <w:rPr>
          <w:rFonts w:ascii="Calibri" w:hAnsi="Calibri" w:cs="Arial"/>
        </w:rPr>
      </w:pPr>
    </w:p>
    <w:p w:rsidR="00F210C8" w:rsidRPr="007D3677" w:rsidRDefault="00F210C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 3º</w:t>
      </w:r>
      <w:r w:rsidRPr="007D3677">
        <w:rPr>
          <w:rFonts w:ascii="Calibri" w:hAnsi="Calibri" w:cs="Arial"/>
        </w:rPr>
        <w:t xml:space="preserve"> O Orçamento para exercício financeiro de 2021 abrangerá os Poderes Legislativo e Executivo, seus fundos, órgãos e entidades da Administração Direta e Indireta e será elaborado levando-se em conta à estrutura organizacional do Município e suas possíveis alterações.</w:t>
      </w:r>
    </w:p>
    <w:p w:rsidR="00F210C8" w:rsidRPr="007D3677" w:rsidRDefault="00F210C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 4º</w:t>
      </w:r>
      <w:r w:rsidRPr="007D3677">
        <w:rPr>
          <w:rFonts w:ascii="Calibri" w:hAnsi="Calibri" w:cs="Arial"/>
        </w:rPr>
        <w:t xml:space="preserve"> A proposta orçamentária do Município evidenciará as receitas por rubricas e suas respectivas despesas, por função, subfunção, programa, projetos, atividades e operações especiais de cada unidade gestora e conterá:</w:t>
      </w:r>
    </w:p>
    <w:p w:rsidR="000273E8" w:rsidRPr="007D3677" w:rsidRDefault="000273E8" w:rsidP="00F57C05">
      <w:pPr>
        <w:spacing w:line="240" w:lineRule="auto"/>
        <w:ind w:firstLine="426"/>
        <w:jc w:val="both"/>
        <w:rPr>
          <w:rFonts w:ascii="Calibri" w:hAnsi="Calibri" w:cs="Arial"/>
        </w:rPr>
      </w:pPr>
    </w:p>
    <w:p w:rsidR="00F210C8" w:rsidRPr="007D3677" w:rsidRDefault="00F210C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lastRenderedPageBreak/>
        <w:t>I -</w:t>
      </w:r>
      <w:r w:rsidRPr="007D3677">
        <w:rPr>
          <w:rFonts w:ascii="Calibri" w:hAnsi="Calibri" w:cs="Arial"/>
        </w:rPr>
        <w:t xml:space="preserve"> mensagem encaminhando o projeto de lei;</w:t>
      </w:r>
    </w:p>
    <w:p w:rsidR="00F210C8" w:rsidRPr="007D3677" w:rsidRDefault="00F210C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 -</w:t>
      </w:r>
      <w:r w:rsidRPr="007D3677">
        <w:rPr>
          <w:rFonts w:ascii="Calibri" w:hAnsi="Calibri" w:cs="Arial"/>
        </w:rPr>
        <w:t xml:space="preserve"> texto da lei;</w:t>
      </w:r>
    </w:p>
    <w:p w:rsidR="00F210C8" w:rsidRPr="007D3677" w:rsidRDefault="00F210C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III -</w:t>
      </w:r>
      <w:r w:rsidRPr="007D3677">
        <w:rPr>
          <w:rFonts w:ascii="Calibri" w:hAnsi="Calibri" w:cs="Arial"/>
        </w:rPr>
        <w:t xml:space="preserve"> demonstrativo da receita e despesa, segundo as categorias econômicas;</w:t>
      </w:r>
    </w:p>
    <w:p w:rsidR="00F210C8" w:rsidRPr="007D3677" w:rsidRDefault="00F210C8" w:rsidP="00F57C05">
      <w:pPr>
        <w:spacing w:line="240" w:lineRule="auto"/>
        <w:ind w:firstLine="426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IV -</w:t>
      </w:r>
      <w:r w:rsidRPr="007D3677">
        <w:rPr>
          <w:rFonts w:ascii="Calibri" w:hAnsi="Calibri" w:cs="Arial"/>
        </w:rPr>
        <w:t xml:space="preserve"> sumário geral da receita por fontes e da despesa por funções de governo;</w:t>
      </w:r>
    </w:p>
    <w:p w:rsidR="00F210C8" w:rsidRPr="007D3677" w:rsidRDefault="00F210C8" w:rsidP="00F57C05">
      <w:pPr>
        <w:spacing w:line="240" w:lineRule="auto"/>
        <w:ind w:firstLine="426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V -</w:t>
      </w:r>
      <w:r w:rsidRPr="007D3677">
        <w:rPr>
          <w:rFonts w:ascii="Calibri" w:hAnsi="Calibri" w:cs="Arial"/>
        </w:rPr>
        <w:t xml:space="preserve"> quadro das dotações por órgãos de governo e administração;</w:t>
      </w:r>
    </w:p>
    <w:p w:rsidR="000273E8" w:rsidRPr="007D3677" w:rsidRDefault="000273E8" w:rsidP="00F57C05">
      <w:pPr>
        <w:spacing w:line="240" w:lineRule="auto"/>
        <w:ind w:firstLine="426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VI -</w:t>
      </w:r>
      <w:r w:rsidRPr="007D3677">
        <w:rPr>
          <w:rFonts w:ascii="Calibri" w:hAnsi="Calibri" w:cs="Arial"/>
        </w:rPr>
        <w:t xml:space="preserve"> demonstrativo da despesa por órgãos e funções;</w:t>
      </w:r>
    </w:p>
    <w:p w:rsidR="000273E8" w:rsidRPr="007D3677" w:rsidRDefault="000273E8" w:rsidP="00F57C05">
      <w:pPr>
        <w:spacing w:line="240" w:lineRule="auto"/>
        <w:ind w:firstLine="426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VII -</w:t>
      </w:r>
      <w:r w:rsidRPr="007D3677">
        <w:rPr>
          <w:rFonts w:ascii="Calibri" w:hAnsi="Calibri" w:cs="Arial"/>
        </w:rPr>
        <w:t xml:space="preserve">  programa de trabalho através da funcional programática; e</w:t>
      </w:r>
    </w:p>
    <w:p w:rsidR="000273E8" w:rsidRPr="007D3677" w:rsidRDefault="000273E8" w:rsidP="00F57C05">
      <w:pPr>
        <w:spacing w:line="240" w:lineRule="auto"/>
        <w:ind w:firstLine="426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VIII -</w:t>
      </w:r>
      <w:r w:rsidRPr="007D3677">
        <w:rPr>
          <w:rFonts w:ascii="Calibri" w:hAnsi="Calibri" w:cs="Arial"/>
        </w:rPr>
        <w:t xml:space="preserve"> demonstrativo da despesa segundo sua natureza.</w:t>
      </w:r>
    </w:p>
    <w:p w:rsidR="000273E8" w:rsidRPr="007D3677" w:rsidRDefault="000273E8" w:rsidP="00F57C05">
      <w:pPr>
        <w:spacing w:line="240" w:lineRule="auto"/>
        <w:ind w:firstLine="426"/>
        <w:rPr>
          <w:rFonts w:ascii="Calibri" w:hAnsi="Calibri" w:cs="Arial"/>
        </w:rPr>
      </w:pPr>
    </w:p>
    <w:p w:rsidR="00BC6192" w:rsidRPr="007D3677" w:rsidRDefault="000273E8" w:rsidP="00F57C05">
      <w:pPr>
        <w:spacing w:line="240" w:lineRule="auto"/>
        <w:ind w:firstLine="426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</w:t>
      </w:r>
      <w:r w:rsidR="00BC6192" w:rsidRPr="007D3677">
        <w:rPr>
          <w:rFonts w:ascii="Calibri" w:hAnsi="Calibri" w:cs="Arial"/>
          <w:b/>
        </w:rPr>
        <w:t xml:space="preserve"> </w:t>
      </w:r>
      <w:r w:rsidRPr="007D3677">
        <w:rPr>
          <w:rFonts w:ascii="Calibri" w:hAnsi="Calibri" w:cs="Arial"/>
          <w:b/>
        </w:rPr>
        <w:t>5º</w:t>
      </w:r>
      <w:r w:rsidRPr="007D3677">
        <w:rPr>
          <w:rFonts w:ascii="Calibri" w:hAnsi="Calibri" w:cs="Arial"/>
        </w:rPr>
        <w:t xml:space="preserve"> Para efeito desta Lei entende-se por:</w:t>
      </w:r>
    </w:p>
    <w:p w:rsidR="00BC6192" w:rsidRPr="007D3677" w:rsidRDefault="00BC6192" w:rsidP="00F57C05">
      <w:pPr>
        <w:spacing w:line="240" w:lineRule="auto"/>
        <w:ind w:firstLine="426"/>
        <w:rPr>
          <w:rFonts w:ascii="Calibri" w:hAnsi="Calibri" w:cs="Arial"/>
        </w:rPr>
      </w:pPr>
    </w:p>
    <w:p w:rsidR="000273E8" w:rsidRPr="007D3677" w:rsidRDefault="000273E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 -</w:t>
      </w:r>
      <w:r w:rsidRPr="007D3677">
        <w:rPr>
          <w:rFonts w:ascii="Calibri" w:hAnsi="Calibri" w:cs="Arial"/>
        </w:rPr>
        <w:t xml:space="preserve"> Programa, o instrumento de organização da ação governamental visando à concretização dos objetivos pretendidos, sendo mensurado por indicadores estabelecidos no Plano Plurianual;</w:t>
      </w:r>
    </w:p>
    <w:p w:rsidR="000273E8" w:rsidRPr="007D3677" w:rsidRDefault="000273E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 -</w:t>
      </w:r>
      <w:r w:rsidRPr="007D3677">
        <w:rPr>
          <w:rFonts w:ascii="Calibri" w:hAnsi="Calibri" w:cs="Arial"/>
        </w:rPr>
        <w:t xml:space="preserve"> Atividade, um instrumento de programação para alcançar o objetivo de um programa, envolvendo um conjunto de operações que se realizam de modo contínuo e permanente, das quais resulta um produto necessário à manutenção da ação de governo;</w:t>
      </w:r>
    </w:p>
    <w:p w:rsidR="000273E8" w:rsidRPr="007D3677" w:rsidRDefault="000273E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III -</w:t>
      </w:r>
      <w:r w:rsidRPr="007D3677">
        <w:rPr>
          <w:rFonts w:ascii="Calibri" w:hAnsi="Calibri" w:cs="Arial"/>
        </w:rPr>
        <w:t xml:space="preserve"> Projeto, um instrumento de programação para alcançar o objetivo de um programa, envolvendo um conjunto de operações limitadas no tempo, das quais resulta um produto que concorre para a expansão ou aperfeiçoamento da ação de governo; e</w:t>
      </w:r>
    </w:p>
    <w:p w:rsidR="000273E8" w:rsidRPr="007D3677" w:rsidRDefault="000273E8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IV -</w:t>
      </w:r>
      <w:r w:rsidRPr="007D3677">
        <w:rPr>
          <w:rFonts w:ascii="Calibri" w:hAnsi="Calibri" w:cs="Arial"/>
        </w:rPr>
        <w:t xml:space="preserve"> Operação especial, as despesas que não contribuem para manutenção, expansão ou aperfeiçoamento das ações de governo, das quais não resulta um produto e não gera contraprestação direta sob a forma de bens ou serviços.</w:t>
      </w:r>
    </w:p>
    <w:p w:rsidR="000273E8" w:rsidRPr="007D3677" w:rsidRDefault="00FA27F6" w:rsidP="00F57C05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Parágrafo único.</w:t>
      </w:r>
      <w:r w:rsidRPr="007D3677">
        <w:rPr>
          <w:rFonts w:ascii="Calibri" w:hAnsi="Calibri" w:cs="Arial"/>
        </w:rPr>
        <w:t xml:space="preserve"> As categorias de programação de que trata esta Lei serão identificadas na proposta orçamentária de 2021 e na respectiva Lei, bem como nos créditos adicionais, por programas e respectivos projetos, atividades ou operações especiais.</w:t>
      </w:r>
    </w:p>
    <w:p w:rsidR="00BC6192" w:rsidRPr="007D3677" w:rsidRDefault="00BC6192" w:rsidP="00F57C05">
      <w:pPr>
        <w:spacing w:line="240" w:lineRule="auto"/>
        <w:ind w:firstLine="426"/>
        <w:rPr>
          <w:rFonts w:ascii="Calibri" w:hAnsi="Calibri" w:cs="Arial"/>
        </w:rPr>
      </w:pPr>
    </w:p>
    <w:p w:rsidR="00BC6192" w:rsidRPr="007D3677" w:rsidRDefault="00BC6192" w:rsidP="00F57C05">
      <w:pPr>
        <w:spacing w:after="0" w:line="360" w:lineRule="auto"/>
        <w:ind w:firstLine="426"/>
        <w:jc w:val="center"/>
        <w:rPr>
          <w:rFonts w:ascii="Calibri" w:hAnsi="Calibri" w:cs="Arial"/>
        </w:rPr>
      </w:pPr>
    </w:p>
    <w:p w:rsidR="007D3677" w:rsidRDefault="007D3677" w:rsidP="00F57C05">
      <w:pPr>
        <w:spacing w:after="0" w:line="360" w:lineRule="auto"/>
        <w:ind w:firstLine="426"/>
        <w:jc w:val="center"/>
        <w:rPr>
          <w:rFonts w:ascii="Calibri" w:hAnsi="Calibri" w:cs="Arial"/>
        </w:rPr>
      </w:pPr>
    </w:p>
    <w:p w:rsidR="007D3677" w:rsidRDefault="007D3677" w:rsidP="00F57C05">
      <w:pPr>
        <w:spacing w:after="0" w:line="360" w:lineRule="auto"/>
        <w:ind w:firstLine="426"/>
        <w:jc w:val="center"/>
        <w:rPr>
          <w:rFonts w:ascii="Calibri" w:hAnsi="Calibri" w:cs="Arial"/>
        </w:rPr>
      </w:pPr>
    </w:p>
    <w:p w:rsidR="00BC6192" w:rsidRPr="007D3677" w:rsidRDefault="00BC6192" w:rsidP="00F57C05">
      <w:pPr>
        <w:spacing w:after="0" w:line="360" w:lineRule="auto"/>
        <w:ind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CAPÍTULO IV</w:t>
      </w:r>
    </w:p>
    <w:p w:rsidR="00BC6192" w:rsidRPr="007D3677" w:rsidRDefault="00BC6192" w:rsidP="00F57C05">
      <w:pPr>
        <w:spacing w:after="0" w:line="360" w:lineRule="auto"/>
        <w:ind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DA ELABORAÇÃO, ALTERAÇÃO E EXECUÇÃO</w:t>
      </w:r>
    </w:p>
    <w:p w:rsidR="00BC6192" w:rsidRPr="007D3677" w:rsidRDefault="00BC6192" w:rsidP="00F57C05">
      <w:pPr>
        <w:spacing w:after="0" w:line="360" w:lineRule="auto"/>
        <w:ind w:firstLine="426"/>
        <w:jc w:val="center"/>
        <w:rPr>
          <w:rFonts w:ascii="Calibri" w:hAnsi="Calibri" w:cs="Arial"/>
        </w:rPr>
      </w:pPr>
      <w:r w:rsidRPr="007D3677">
        <w:rPr>
          <w:rFonts w:ascii="Calibri" w:hAnsi="Calibri" w:cs="Arial"/>
        </w:rPr>
        <w:t>DO ORÇAMENTO MUNICIPAL</w:t>
      </w: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A27F6" w:rsidRPr="007D3677" w:rsidRDefault="00BC6192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 6º</w:t>
      </w:r>
      <w:r w:rsidRPr="007D3677">
        <w:rPr>
          <w:rFonts w:ascii="Calibri" w:hAnsi="Calibri" w:cs="Arial"/>
        </w:rPr>
        <w:t xml:space="preserve"> A proposta orçamentária do Município , relativa ao exercício financeiro de 2021, deverá ser elaborada em conformidade com os diversos princípios, além dos contábeis geralmente aceitos, o de igualdade, prioridade de investimentos nas áreas sociais, austeridade na gestão dos recursos públicos, modernização na ação governamental, transparência na elaboração e execução do orçamento.</w:t>
      </w:r>
    </w:p>
    <w:p w:rsidR="00BC6192" w:rsidRPr="007D3677" w:rsidRDefault="00BC6192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BC6192" w:rsidRPr="007D3677" w:rsidRDefault="00BC6192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Art. 7º </w:t>
      </w:r>
      <w:r w:rsidRPr="007D3677">
        <w:rPr>
          <w:rFonts w:ascii="Calibri" w:hAnsi="Calibri" w:cs="Arial"/>
        </w:rPr>
        <w:t>O Poder Legislativo elaborará seu detalhamento de despesas para o exercício financeiro de 2021, observadas as determinações contidas nesta Lei e no art. 29-A da Constituição Federal, devendo encaminhá-lo ao Poder Executivo até 30 (trinta) dias antes do prazo de remessa do projeto de lei orçamentária de 2021 à Câmara Municipal.</w:t>
      </w: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  <w:b/>
        </w:rPr>
      </w:pPr>
    </w:p>
    <w:p w:rsidR="00BC6192" w:rsidRPr="007D3677" w:rsidRDefault="00BC6192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Art.8º  </w:t>
      </w:r>
      <w:r w:rsidRPr="007D3677">
        <w:rPr>
          <w:rFonts w:ascii="Calibri" w:hAnsi="Calibri" w:cs="Arial"/>
        </w:rPr>
        <w:t>As emendas ao projeto de lei do orçamento devem obedecer ao disposto no §</w:t>
      </w:r>
      <w:r w:rsidR="00F57C05" w:rsidRPr="007D3677">
        <w:rPr>
          <w:rFonts w:ascii="Calibri" w:hAnsi="Calibri" w:cs="Arial"/>
        </w:rPr>
        <w:t>3º do art.166, da Constituição Federal e na alínea "b" do inciso III do art.160 da Constituição do Estado, e não poderão indicar recursos provenientes de anulação das seguintes despesas:</w:t>
      </w: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 -</w:t>
      </w:r>
      <w:r w:rsidRPr="007D3677">
        <w:rPr>
          <w:rFonts w:ascii="Calibri" w:hAnsi="Calibri" w:cs="Arial"/>
        </w:rPr>
        <w:t xml:space="preserve"> dotações com recursos vinculados;</w:t>
      </w: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 -</w:t>
      </w:r>
      <w:r w:rsidRPr="007D3677">
        <w:rPr>
          <w:rFonts w:ascii="Calibri" w:hAnsi="Calibri" w:cs="Arial"/>
        </w:rPr>
        <w:t xml:space="preserve"> dotações referentes à contrapartida;</w:t>
      </w: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III -</w:t>
      </w:r>
      <w:r w:rsidRPr="007D3677">
        <w:rPr>
          <w:rFonts w:ascii="Calibri" w:hAnsi="Calibri" w:cs="Arial"/>
        </w:rPr>
        <w:t xml:space="preserve"> dotações referentes a obras em andamento; e</w:t>
      </w: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IV -</w:t>
      </w:r>
      <w:r w:rsidRPr="007D3677">
        <w:rPr>
          <w:rFonts w:ascii="Calibri" w:hAnsi="Calibri" w:cs="Arial"/>
        </w:rPr>
        <w:t xml:space="preserve"> dotações referentes a precatórios e sentenças judiciais.</w:t>
      </w: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57C05" w:rsidRPr="007D3677" w:rsidRDefault="00F57C05" w:rsidP="00F57C05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Art.9º</w:t>
      </w:r>
      <w:r w:rsidRPr="007D3677">
        <w:rPr>
          <w:rFonts w:ascii="Calibri" w:hAnsi="Calibri" w:cs="Arial"/>
        </w:rPr>
        <w:t xml:space="preserve"> O projeto de lei orçamentária de 2021 contemplará autorização ao Chefe do Poder Executivo municipal para abertura de créditos adicionais suplementares, observando o disposto na Lei Federal nº 4320, de 17 de março de 1964, visando:</w:t>
      </w:r>
    </w:p>
    <w:p w:rsidR="00F57C05" w:rsidRPr="007D3677" w:rsidRDefault="00F57C05" w:rsidP="00172E72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57C05" w:rsidRPr="007D3677" w:rsidRDefault="00F57C05" w:rsidP="00172E72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 -</w:t>
      </w:r>
      <w:r w:rsidRPr="007D3677">
        <w:rPr>
          <w:rFonts w:ascii="Calibri" w:hAnsi="Calibri" w:cs="Arial"/>
        </w:rPr>
        <w:t xml:space="preserve"> criar, quando for o caso, natureza de despesa em categoria de programação já existente;</w:t>
      </w:r>
    </w:p>
    <w:p w:rsidR="00BC6192" w:rsidRPr="007D3677" w:rsidRDefault="00172E72" w:rsidP="00172E72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 -</w:t>
      </w:r>
      <w:r w:rsidRPr="007D3677">
        <w:rPr>
          <w:rFonts w:ascii="Calibri" w:hAnsi="Calibri" w:cs="Arial"/>
        </w:rPr>
        <w:t xml:space="preserve"> movimentar, internamente, o Orçamento quando as dotações existentes se mostrarem insuficientes para a realização de determinadas despesas; e </w:t>
      </w:r>
    </w:p>
    <w:p w:rsidR="00172E72" w:rsidRPr="007D3677" w:rsidRDefault="00172E72" w:rsidP="00172E72">
      <w:pPr>
        <w:spacing w:line="24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III -</w:t>
      </w:r>
      <w:r w:rsidRPr="007D3677">
        <w:rPr>
          <w:rFonts w:ascii="Calibri" w:hAnsi="Calibri" w:cs="Arial"/>
        </w:rPr>
        <w:t xml:space="preserve"> incorporar valores que excedam às previsões constantes da Lei Orçamentária.</w:t>
      </w:r>
    </w:p>
    <w:p w:rsidR="00172E72" w:rsidRPr="007D3677" w:rsidRDefault="00172E72" w:rsidP="00172E72">
      <w:pPr>
        <w:spacing w:line="240" w:lineRule="auto"/>
        <w:ind w:firstLine="426"/>
        <w:jc w:val="both"/>
        <w:rPr>
          <w:rFonts w:ascii="Calibri" w:hAnsi="Calibri" w:cs="Arial"/>
        </w:rPr>
      </w:pPr>
    </w:p>
    <w:p w:rsidR="00172E72" w:rsidRPr="007D3677" w:rsidRDefault="00172E72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lastRenderedPageBreak/>
        <w:t>Art</w:t>
      </w:r>
      <w:r w:rsidR="00687EA1" w:rsidRPr="007D3677">
        <w:rPr>
          <w:rFonts w:ascii="Calibri" w:hAnsi="Calibri" w:cs="Arial"/>
          <w:b/>
        </w:rPr>
        <w:t>.10.</w:t>
      </w:r>
      <w:r w:rsidRPr="007D3677">
        <w:rPr>
          <w:rFonts w:ascii="Calibri" w:hAnsi="Calibri" w:cs="Arial"/>
          <w:b/>
        </w:rPr>
        <w:t xml:space="preserve"> </w:t>
      </w:r>
      <w:r w:rsidRPr="007D3677">
        <w:rPr>
          <w:rFonts w:ascii="Calibri" w:hAnsi="Calibri" w:cs="Arial"/>
        </w:rPr>
        <w:t>O Poder Executivo, poderá, mediante Decreto, transpor, remanejar, transferir ou utilizar, total ou parcialmente, as dotações orçamentárias aprovadas na Lei Orçamentária de 2021 e em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conforme definida no parágrafo único do art.5º desta Lei.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172E72" w:rsidRPr="007D3677" w:rsidRDefault="00172E72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Parágrafo único. </w:t>
      </w:r>
      <w:r w:rsidRPr="007D3677">
        <w:rPr>
          <w:rFonts w:ascii="Calibri" w:hAnsi="Calibri" w:cs="Arial"/>
        </w:rPr>
        <w:t>A transposição, transferência ou remanejamento não poderá resultar em alteração dos valores das programações aprovadas na Lei Orçamentária de 2021 ou em créditos adicionais, podendo haver, excepcionalmente, ajuste na classificação funcional.</w:t>
      </w:r>
    </w:p>
    <w:p w:rsidR="00172E72" w:rsidRPr="007D3677" w:rsidRDefault="00687EA1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 11.</w:t>
      </w:r>
      <w:r w:rsidR="00172E72" w:rsidRPr="007D3677">
        <w:rPr>
          <w:rFonts w:ascii="Calibri" w:hAnsi="Calibri" w:cs="Arial"/>
          <w:b/>
        </w:rPr>
        <w:t xml:space="preserve"> </w:t>
      </w:r>
      <w:r w:rsidR="00172E72" w:rsidRPr="007D3677">
        <w:rPr>
          <w:rFonts w:ascii="Calibri" w:hAnsi="Calibri" w:cs="Arial"/>
        </w:rPr>
        <w:t>O Poder Executivo poderá, mediante decreto, incluir ou alterar fontes de recursos nas dotações orçamentárias aprovadas na Lei Orçamentária de 2021, respeitadas as devidas vinculações.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172E72" w:rsidRPr="007D3677" w:rsidRDefault="00172E72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Parágrafo único.</w:t>
      </w:r>
      <w:r w:rsidRPr="007D3677">
        <w:rPr>
          <w:rFonts w:ascii="Calibri" w:hAnsi="Calibri" w:cs="Arial"/>
        </w:rPr>
        <w:t xml:space="preserve"> A movimentação entre fontes de recursos de uma única dotação orçamentária não configura abertura de crédito adicional.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172E72" w:rsidRPr="007D3677" w:rsidRDefault="00687EA1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Art.12.</w:t>
      </w:r>
      <w:r w:rsidR="00172E72" w:rsidRPr="007D3677">
        <w:rPr>
          <w:rFonts w:ascii="Calibri" w:hAnsi="Calibri" w:cs="Arial"/>
          <w:b/>
        </w:rPr>
        <w:t xml:space="preserve"> </w:t>
      </w:r>
      <w:r w:rsidR="00172E72" w:rsidRPr="007D3677">
        <w:rPr>
          <w:rFonts w:ascii="Calibri" w:hAnsi="Calibri" w:cs="Arial"/>
        </w:rPr>
        <w:t xml:space="preserve">O Governo </w:t>
      </w:r>
      <w:r w:rsidRPr="007D3677">
        <w:rPr>
          <w:rFonts w:ascii="Calibri" w:hAnsi="Calibri" w:cs="Arial"/>
        </w:rPr>
        <w:t>Municipal destinará no mínimo, 25% (vinte e cinco por cento) de sua receita resultante de impostos e das transferências federais e estaduais de impostos, na manutenção e desenvolvimento do ensino, como estabelece o artigo 212 da Constituição Federal e Lei Federal nº 11.494, de 20 de junho de 2007.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687EA1" w:rsidRPr="007D3677" w:rsidRDefault="00687EA1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Parágrafo único.</w:t>
      </w:r>
      <w:r w:rsidRPr="007D3677">
        <w:rPr>
          <w:rFonts w:ascii="Calibri" w:hAnsi="Calibri" w:cs="Arial"/>
        </w:rPr>
        <w:t xml:space="preserve"> O Município aplicará parte dos recursos a que se refere o caput deste artigo, na manutenção e desenvolvimento da educação básica e à remuneração condigna dos trabalhadores da educação, nos termos estabelecidos no art. 60 do Ato das Disposições Constitucionais Transitórias da Constituição Federal.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687EA1" w:rsidRPr="007D3677" w:rsidRDefault="00687EA1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Art.13.</w:t>
      </w:r>
      <w:r w:rsidRPr="007D3677">
        <w:rPr>
          <w:rFonts w:ascii="Calibri" w:hAnsi="Calibri" w:cs="Arial"/>
        </w:rPr>
        <w:t xml:space="preserve"> A proposta orçamentária consignará previsão de recursos para financiamento das ações e serviços </w:t>
      </w:r>
      <w:r w:rsidR="00F5163A">
        <w:rPr>
          <w:rFonts w:ascii="Calibri" w:hAnsi="Calibri" w:cs="Arial"/>
        </w:rPr>
        <w:t>públicos de saúde no ano de 2021</w:t>
      </w:r>
      <w:r w:rsidRPr="007D3677">
        <w:rPr>
          <w:rFonts w:ascii="Calibri" w:hAnsi="Calibri" w:cs="Arial"/>
        </w:rPr>
        <w:t>, no mínimo, de 15% (quinze por cento) do produto da arrecadação dos impostos a que se refere o art.156 e dos recursos de que tratam os artigos 158 e 159, inciso I, alínea "b e §3, da Constituição Federal.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lastRenderedPageBreak/>
        <w:t>Art.14.</w:t>
      </w:r>
      <w:r w:rsidRPr="007D3677">
        <w:rPr>
          <w:rFonts w:ascii="Calibri" w:hAnsi="Calibri" w:cs="Arial"/>
        </w:rPr>
        <w:t xml:space="preserve"> A Lei Orçamentária de 2021 deverá conter Reserva de Contingência, limitada a 2% (dois por cento) da receita corrente líquida prevista, destinada a atender os passivos contingentes, os riscos e eventos fiscais, dentre outros imprevistos e imprevisíveis.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Parágrafo único. </w:t>
      </w:r>
      <w:r w:rsidRPr="007D3677">
        <w:rPr>
          <w:rFonts w:ascii="Calibri" w:hAnsi="Calibri" w:cs="Arial"/>
        </w:rPr>
        <w:t>Para efeito desta Lei, entendem-se como eventos e riscos fiscais imprevistos e imprevisíveis, entre outros, as despesas necessárias ao funcionamento e manutenção dos serviços públicos e da estrutura da Administração Municipal, não orçadas ou a menor, decorrentes de criação, expansão ou aperfeiçoamento de ações governamentais às necessidades do Poder Público.</w:t>
      </w: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Art.15. </w:t>
      </w:r>
      <w:r w:rsidR="00D609FA" w:rsidRPr="007D3677">
        <w:rPr>
          <w:rFonts w:ascii="Calibri" w:hAnsi="Calibri" w:cs="Arial"/>
        </w:rPr>
        <w:t>Considera-se despesa irrelevante para fins do disposto no §3º do art.16 da Lei Complementar Federal nº 101, de 2000, a despesa cujo valor não ultrapasse os limites estabelecidos nos incisos I e II do art.24, da Lei Federal nº 8.666, de 21 de junho de 1993.</w:t>
      </w: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Art.16. </w:t>
      </w:r>
      <w:r w:rsidRPr="007D3677">
        <w:rPr>
          <w:rFonts w:ascii="Calibri" w:hAnsi="Calibri" w:cs="Arial"/>
        </w:rPr>
        <w:t>Até 30 (trinta) dias após a aprovação e publicação da Lei Orçamentária de 2021, o Poder Executivo estabelecerá a programação financeira e o cronograma de execução mensal de desembolso, bem como as metas bimestrais de arrecadação.</w:t>
      </w: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Parágrafo único. </w:t>
      </w:r>
      <w:r w:rsidRPr="007D3677">
        <w:rPr>
          <w:rFonts w:ascii="Calibri" w:hAnsi="Calibri" w:cs="Arial"/>
        </w:rPr>
        <w:t>O cronograma anual de desembolso mensal do Poder Legislativo terá como referencial o repasse previsto no art.168 da Constituição Federal, na forma de duodécimos, respeitado o limite constitucional, o prazo mensal e a proporção fixada na Lei Orçamentária de 2021, em observância as regras dispostas nos incisos I a III do art. 2º do art. 29-A da Constituição Federal.</w:t>
      </w: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Art.17. </w:t>
      </w:r>
      <w:r w:rsidRPr="007D3677">
        <w:rPr>
          <w:rFonts w:ascii="Calibri" w:hAnsi="Calibri" w:cs="Arial"/>
        </w:rPr>
        <w:t>Se verificado, ao final de um bimestre, que a realização da receita não será suficiente para garantir o equilíbrio das contas públicas, os Poderes Executivo e Legislativo procederão à respectiva limitação de empenho e de movimentação financeira, podendo definir percentuais específicos, para o conjunto de projetos, atividades e operações especiais, calculado de forma proporcional à participação dos Poderes no total das dotações iniciais constantes da Lei Orçamentária de 2021.</w:t>
      </w: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>§1º</w:t>
      </w:r>
      <w:r w:rsidRPr="007D3677">
        <w:rPr>
          <w:rFonts w:ascii="Calibri" w:hAnsi="Calibri" w:cs="Arial"/>
        </w:rPr>
        <w:t xml:space="preserve"> Excluem do </w:t>
      </w:r>
      <w:r w:rsidRPr="007D3677">
        <w:rPr>
          <w:rFonts w:ascii="Calibri" w:hAnsi="Calibri" w:cs="Arial"/>
          <w:b/>
        </w:rPr>
        <w:t>caput</w:t>
      </w:r>
      <w:r w:rsidRPr="007D3677">
        <w:rPr>
          <w:rFonts w:ascii="Calibri" w:hAnsi="Calibri" w:cs="Arial"/>
        </w:rPr>
        <w:t xml:space="preserve"> deste artigo às despesas que constituem obrigação constitucional e legal de execução e as despesas destinadas ao pagamento dos serviços da dívida.</w:t>
      </w: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lastRenderedPageBreak/>
        <w:t>§2º</w:t>
      </w:r>
      <w:r w:rsidRPr="007D3677">
        <w:rPr>
          <w:rFonts w:ascii="Calibri" w:hAnsi="Calibri" w:cs="Arial"/>
        </w:rPr>
        <w:t xml:space="preserve"> Na hipótese de ocorrência do disposto no </w:t>
      </w:r>
      <w:r w:rsidRPr="007D3677">
        <w:rPr>
          <w:rFonts w:ascii="Calibri" w:hAnsi="Calibri" w:cs="Arial"/>
          <w:b/>
        </w:rPr>
        <w:t>caput</w:t>
      </w:r>
      <w:r w:rsidRPr="007D3677">
        <w:rPr>
          <w:rFonts w:ascii="Calibri" w:hAnsi="Calibri" w:cs="Arial"/>
        </w:rPr>
        <w:t xml:space="preserve"> deste artigo o Poder Executivo comunicará ao Poder Legislativo o montante que lhe caberá tornar indisponível para empenho e para movimentação financeira.</w:t>
      </w:r>
    </w:p>
    <w:p w:rsidR="007B0F49" w:rsidRPr="007D3677" w:rsidRDefault="007B0F49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7B0F49" w:rsidRPr="007D3677" w:rsidRDefault="007B0F49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  <w:r w:rsidRPr="007D3677">
        <w:rPr>
          <w:rFonts w:ascii="Calibri" w:hAnsi="Calibri" w:cs="Arial"/>
          <w:b/>
        </w:rPr>
        <w:t xml:space="preserve">§3º </w:t>
      </w:r>
      <w:r w:rsidRPr="007D3677">
        <w:rPr>
          <w:rFonts w:ascii="Calibri" w:hAnsi="Calibri" w:cs="Arial"/>
        </w:rPr>
        <w:t>Para efeito de aplicação deste artigo serão considerados, preferencialmente, os recursos orçamentários destinados às despesas de capital e às despesas correntes que não são afetas a serviços básicos.</w:t>
      </w:r>
    </w:p>
    <w:p w:rsidR="007B0F49" w:rsidRPr="007D3677" w:rsidRDefault="007B0F49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 w:cs="Arial"/>
          <w:b/>
        </w:rPr>
        <w:t>§4º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 xml:space="preserve">No caso de restabelecimento da receita prevista, ainda que parcial, a recomposição das dotações cujos empenhos foram limitados dar-se-á de forma proporcional às reduções efetivadas. 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18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Os pagamentos devidos pela Fazenda Pública Municipal, em virtude de sentença judiciária, far-se-ão exclusivamente na ordem cronológica de apresentação dos precatórios e à conta dos créditos respectivos, conforme disposto no art.100 da Constituição Federal.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19</w:t>
      </w:r>
      <w:r w:rsidR="007D3677" w:rsidRPr="007D3677">
        <w:rPr>
          <w:rFonts w:ascii="Calibri" w:hAnsi="Calibri"/>
        </w:rPr>
        <w:t>.</w:t>
      </w:r>
      <w:r w:rsidRPr="007D3677">
        <w:rPr>
          <w:rFonts w:ascii="Calibri" w:hAnsi="Calibri"/>
        </w:rPr>
        <w:t xml:space="preserve"> A destinação de recursos para novos projetos somente será permitida depois de adequadamente atendidos os projetos em andamento e as despesas de conservação do patrimônio, salvos os projetos programados com recursos de convênios e operações.</w:t>
      </w:r>
    </w:p>
    <w:p w:rsidR="007B0F49" w:rsidRPr="007D3677" w:rsidRDefault="007B0F49" w:rsidP="007B0F49">
      <w:pPr>
        <w:spacing w:before="100" w:line="360" w:lineRule="auto"/>
        <w:jc w:val="both"/>
        <w:rPr>
          <w:rFonts w:ascii="Calibri" w:hAnsi="Calibri"/>
        </w:rPr>
      </w:pPr>
    </w:p>
    <w:p w:rsidR="007B0F49" w:rsidRPr="007D3677" w:rsidRDefault="007B0F49" w:rsidP="007B0F49">
      <w:pPr>
        <w:spacing w:before="100" w:line="360" w:lineRule="auto"/>
        <w:ind w:left="-1276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CAPÍTULO V</w:t>
      </w:r>
    </w:p>
    <w:p w:rsidR="007B0F49" w:rsidRPr="007D3677" w:rsidRDefault="007B0F49" w:rsidP="007B0F49">
      <w:pPr>
        <w:spacing w:before="100" w:line="360" w:lineRule="auto"/>
        <w:ind w:left="-1276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 xml:space="preserve">DAS DESPESAS COM PESSOAL E ENCARGOS SOCIAIS 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  <w:b/>
        </w:rPr>
      </w:pP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20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 xml:space="preserve">Para efeito do disposto nos incisos V e X do art. 37 inc.II, §1° do art. 169  da Constituição Federal e na Lei Complementar Federal n°101, de 2000, fica estabelecido que a Administração Direta e Indireta, e o Poder Legislativo, poderão criar cargos, empregos e funções, alterar a estrutura de carreira, realizar concurso público, conceder qualquer vantagem, corrigir, reajustar ou aumentar a remuneração dos servidores públicos municipais e admitir pessoal, mediante lei e  havendo previa dotação orçamentária suficiente para atendimento da respectiva despesa, em observância aos limites constitucionais e legais. 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lastRenderedPageBreak/>
        <w:t xml:space="preserve">Parágrafo Único. </w:t>
      </w:r>
      <w:r w:rsidRPr="007D3677">
        <w:rPr>
          <w:rFonts w:ascii="Calibri" w:hAnsi="Calibri"/>
        </w:rPr>
        <w:t xml:space="preserve"> Os recursos para as despesas decorrentes dos atos disposto no </w:t>
      </w:r>
      <w:r w:rsidRPr="007D3677">
        <w:rPr>
          <w:rFonts w:ascii="Calibri" w:hAnsi="Calibri"/>
          <w:b/>
        </w:rPr>
        <w:t>caput</w:t>
      </w:r>
      <w:r w:rsidRPr="007D3677">
        <w:rPr>
          <w:rFonts w:ascii="Calibri" w:hAnsi="Calibri"/>
        </w:rPr>
        <w:t xml:space="preserve"> deste artigo deverão estar previstos no orçamento de 2020 ou acrescidos por créditos adicionais. 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21°</w:t>
      </w:r>
      <w:r w:rsidR="007D3677" w:rsidRPr="007D3677">
        <w:rPr>
          <w:rFonts w:ascii="Calibri" w:hAnsi="Calibri"/>
          <w:b/>
        </w:rPr>
        <w:t xml:space="preserve">. </w:t>
      </w:r>
      <w:r w:rsidRPr="007D3677">
        <w:rPr>
          <w:rFonts w:ascii="Calibri" w:hAnsi="Calibri"/>
        </w:rPr>
        <w:t xml:space="preserve">A despesa total com pessoal dos Poderes Executivo e Legislativo, respectivamente, não excederá os limites de 54% (cinquenta e quatro por cento) e 6% (seis por cento) da Receita Corrente Líquida, observada os limites prudenciais. 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22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No exercício financeiro de 20</w:t>
      </w:r>
      <w:r w:rsidR="007D3677" w:rsidRPr="007D3677">
        <w:rPr>
          <w:rFonts w:ascii="Calibri" w:hAnsi="Calibri"/>
        </w:rPr>
        <w:t>21</w:t>
      </w:r>
      <w:r w:rsidRPr="007D3677">
        <w:rPr>
          <w:rFonts w:ascii="Calibri" w:hAnsi="Calibri"/>
        </w:rPr>
        <w:t xml:space="preserve"> a realização de hora extra, quando a despesa com pessoal houver excedido o limite disposto no parágrafo único do art.22 da Lei Complementar Federal n°101, de 2000, somente poderá ocorrer nos casos de necessidade temporária de excepcional interesse público, devidamente justificado pela autoridade competente.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23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 xml:space="preserve">Serão considerados contratos de terceirização de mão-de-obra, para efeito do disposto no §1° do art.18 da Lei Complementar Federal n°101, de 2000, as despesas provenientes de contratação de pessoal para substituição de servidores pertencentes a categorias funcionais abrangidas por planos de cargos do quadro de pessoal de órgãos ou entidade, desde que haja vacância dos cargos a serem substituídos, sendo tais despesas contabilizadas como Outras Despesas de Pessoal. 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</w:p>
    <w:p w:rsidR="007B0F49" w:rsidRPr="007D3677" w:rsidRDefault="007B0F49" w:rsidP="007B0F49">
      <w:pPr>
        <w:spacing w:before="100" w:line="360" w:lineRule="auto"/>
        <w:ind w:left="-709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CAPÍTULO IV</w:t>
      </w:r>
    </w:p>
    <w:p w:rsidR="007B0F49" w:rsidRPr="007D3677" w:rsidRDefault="007B0F49" w:rsidP="007B0F49">
      <w:pPr>
        <w:spacing w:before="100" w:line="360" w:lineRule="auto"/>
        <w:ind w:left="-709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DAS CONDIÇÕES PARA CONCESSÃO DE RECURSOS PÚBLICOS</w:t>
      </w:r>
    </w:p>
    <w:p w:rsidR="007B0F49" w:rsidRPr="007D3677" w:rsidRDefault="007B0F49" w:rsidP="007B0F49">
      <w:pPr>
        <w:spacing w:before="100" w:line="360" w:lineRule="auto"/>
        <w:rPr>
          <w:rFonts w:ascii="Calibri" w:hAnsi="Calibri"/>
          <w:b/>
        </w:rPr>
      </w:pP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24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O Poder Executivo poderá, mediante autorização legislativa específica, transferir recursos do Tesouro Municipal, a título de subvenção social, às entidades sem fins lucrativos, as quais desenvolvam atividades nas áreas sociais, médica, educacional, cultural e desportiva, desde que estejam legalmente constituídas em observância as regras aplicáveis na Lei Federal n°13.019 de 31 de julho de 2014.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 xml:space="preserve">§1- </w:t>
      </w:r>
      <w:r w:rsidRPr="007D3677">
        <w:rPr>
          <w:rFonts w:ascii="Calibri" w:hAnsi="Calibri"/>
        </w:rPr>
        <w:t xml:space="preserve">As entidades beneficiadas nos termos do </w:t>
      </w:r>
      <w:r w:rsidRPr="007D3677">
        <w:rPr>
          <w:rFonts w:ascii="Calibri" w:hAnsi="Calibri"/>
          <w:b/>
        </w:rPr>
        <w:t xml:space="preserve">caput </w:t>
      </w:r>
      <w:r w:rsidRPr="007D3677">
        <w:rPr>
          <w:rFonts w:ascii="Calibri" w:hAnsi="Calibri"/>
        </w:rPr>
        <w:t>deste artigo deverão prestar contas dos recursos recebidos ao Poder Executivo.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lastRenderedPageBreak/>
        <w:t xml:space="preserve">§2- </w:t>
      </w:r>
      <w:r w:rsidRPr="007D3677">
        <w:rPr>
          <w:rFonts w:ascii="Calibri" w:hAnsi="Calibri"/>
        </w:rPr>
        <w:t>Fica vedada à concessão de subvenção a entidades que não cumprirem as exigências do §1° deste artigo, assim como as que não tiverem suas contas aprovadas pelo poder Executivo.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 xml:space="preserve">Art. 25°- </w:t>
      </w:r>
      <w:r w:rsidRPr="007D3677">
        <w:rPr>
          <w:rFonts w:ascii="Calibri" w:hAnsi="Calibri"/>
        </w:rPr>
        <w:t>O poder Executivo poderá destinar recursos para pessoas físicas ou jurídicas situadas no Município, visando cobrir suas necessidades ou déficit, respectivamente, observadas as disposições contidas em lei municipal específica.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26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A Lei Orçamentária conterá dotação para acobertar despesas com contribuições a entidades que visem o desenvolvimento municipal ou regional.</w:t>
      </w:r>
    </w:p>
    <w:p w:rsidR="007B0F49" w:rsidRPr="007D3677" w:rsidRDefault="007B0F49" w:rsidP="007B0F49">
      <w:pPr>
        <w:spacing w:before="100" w:line="360" w:lineRule="auto"/>
        <w:rPr>
          <w:rFonts w:ascii="Calibri" w:hAnsi="Calibri"/>
        </w:rPr>
      </w:pPr>
    </w:p>
    <w:p w:rsidR="007B0F49" w:rsidRPr="007D3677" w:rsidRDefault="007B0F49" w:rsidP="007B0F49">
      <w:pPr>
        <w:spacing w:before="100" w:line="360" w:lineRule="auto"/>
        <w:ind w:left="-709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CAPÍTULO VII</w:t>
      </w:r>
    </w:p>
    <w:p w:rsidR="007B0F49" w:rsidRPr="007D3677" w:rsidRDefault="007B0F49" w:rsidP="007B0F49">
      <w:pPr>
        <w:spacing w:before="100" w:line="360" w:lineRule="auto"/>
        <w:ind w:left="-709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DAS ALTERAÇÕES NA LEGISLAÇÃO TRIBUTÁRIA</w:t>
      </w:r>
    </w:p>
    <w:p w:rsidR="007B0F49" w:rsidRPr="007D3677" w:rsidRDefault="007B0F49" w:rsidP="007B0F49">
      <w:pPr>
        <w:spacing w:before="100" w:line="360" w:lineRule="auto"/>
        <w:ind w:firstLine="851"/>
        <w:jc w:val="center"/>
        <w:rPr>
          <w:rFonts w:ascii="Calibri" w:hAnsi="Calibri"/>
          <w:b/>
        </w:rPr>
      </w:pP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27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Qualquer Projeto de Lei que conceda ou amplie incentivos, isenção ou benefícios de natureza tributária ou financeira, que gere efeitos sobre a receita estimada para Orçamento de 2020, deverá, para sua aprovação, observar os termos do art.14 da Lei Complementar Federal n°101, de 2000, no que couber.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28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O Chefe do Poder Executivo, autorizado em lei, poderá conceder benefício fiscal aos contribuintes que pagarem seus tributos em parceria única e no prazo de vencimento, ou ainda em dia com suas obrigações tributárias, devendo, nesses casos, serem considerados os cálculos da estimativa da receita.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</w:p>
    <w:p w:rsidR="007B0F49" w:rsidRPr="007D3677" w:rsidRDefault="007B0F49" w:rsidP="007B0F49">
      <w:pPr>
        <w:spacing w:before="100" w:line="360" w:lineRule="auto"/>
        <w:ind w:left="-709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CAPÍTULO VIII</w:t>
      </w:r>
    </w:p>
    <w:p w:rsidR="007B0F49" w:rsidRPr="007D3677" w:rsidRDefault="007B0F49" w:rsidP="007B0F49">
      <w:pPr>
        <w:spacing w:before="100" w:line="360" w:lineRule="auto"/>
        <w:ind w:left="-709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DAS DISPOSIÇÕE</w:t>
      </w:r>
      <w:r w:rsidR="007D3677" w:rsidRPr="007D3677">
        <w:rPr>
          <w:rFonts w:ascii="Calibri" w:hAnsi="Calibri"/>
        </w:rPr>
        <w:t>S SOBRE A DÍVIDA PÚBLICA MUNICI</w:t>
      </w:r>
      <w:r w:rsidRPr="007D3677">
        <w:rPr>
          <w:rFonts w:ascii="Calibri" w:hAnsi="Calibri"/>
        </w:rPr>
        <w:t>PAL</w:t>
      </w:r>
    </w:p>
    <w:p w:rsidR="007B0F49" w:rsidRPr="007D3677" w:rsidRDefault="007B0F49" w:rsidP="007B0F49">
      <w:pPr>
        <w:spacing w:before="100" w:line="360" w:lineRule="auto"/>
        <w:jc w:val="both"/>
        <w:rPr>
          <w:rFonts w:ascii="Calibri" w:hAnsi="Calibri"/>
          <w:b/>
        </w:rPr>
      </w:pP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lastRenderedPageBreak/>
        <w:t>Art. 29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 xml:space="preserve">A administração da dívida pública municipal interna ou externa terá por objetivo principal a minimização de custos e a viabilização de fontes alternativas de recursos para o tesouro municipal. 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30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Observada a legislação vigente, o Município poderá realizar operações de créditos destinadas a financiar despesas de capital previstas no orçamento.</w:t>
      </w:r>
    </w:p>
    <w:p w:rsidR="007B0F49" w:rsidRPr="007D3677" w:rsidRDefault="007B0F49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31</w:t>
      </w:r>
      <w:r w:rsidR="007D3677" w:rsidRPr="007D3677">
        <w:rPr>
          <w:rFonts w:ascii="Calibri" w:hAnsi="Calibri"/>
          <w:b/>
        </w:rPr>
        <w:t>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As operações de crédito deverão ser autorizadas por lei específica e constar do Orçamento Anual pra 20</w:t>
      </w:r>
      <w:r w:rsidR="007D3677" w:rsidRPr="007D3677">
        <w:rPr>
          <w:rFonts w:ascii="Calibri" w:hAnsi="Calibri"/>
        </w:rPr>
        <w:t>21</w:t>
      </w:r>
      <w:r w:rsidRPr="007D3677">
        <w:rPr>
          <w:rFonts w:ascii="Calibri" w:hAnsi="Calibri"/>
        </w:rPr>
        <w:t>.</w:t>
      </w:r>
    </w:p>
    <w:p w:rsidR="007D3677" w:rsidRPr="007D3677" w:rsidRDefault="007D3677" w:rsidP="007B0F49">
      <w:pPr>
        <w:spacing w:before="100" w:line="360" w:lineRule="auto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Art.32.</w:t>
      </w:r>
      <w:r w:rsidRPr="007D3677">
        <w:rPr>
          <w:rFonts w:ascii="Calibri" w:hAnsi="Calibri"/>
        </w:rPr>
        <w:t xml:space="preserve"> A Lei Orçamentária de 2021 poderá autorizar a realização de operações de crédito por antecipação de receitas, assumidas a partir do dia 10 de janeiro, com quitação integral até o dia 10 de dezembro de 2021.</w:t>
      </w:r>
    </w:p>
    <w:p w:rsidR="007B0F49" w:rsidRPr="007D3677" w:rsidRDefault="007B0F49" w:rsidP="007B0F49">
      <w:pPr>
        <w:tabs>
          <w:tab w:val="left" w:pos="6885"/>
        </w:tabs>
        <w:spacing w:before="100"/>
        <w:ind w:left="-993" w:firstLine="851"/>
        <w:jc w:val="center"/>
        <w:rPr>
          <w:rFonts w:ascii="Calibri" w:hAnsi="Calibri"/>
        </w:rPr>
      </w:pPr>
    </w:p>
    <w:p w:rsidR="007B0F49" w:rsidRPr="007D3677" w:rsidRDefault="007B0F49" w:rsidP="007B0F49">
      <w:pPr>
        <w:tabs>
          <w:tab w:val="left" w:pos="6885"/>
        </w:tabs>
        <w:spacing w:before="100"/>
        <w:ind w:left="-993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CAPÍTULO IX</w:t>
      </w:r>
    </w:p>
    <w:p w:rsidR="007B0F49" w:rsidRPr="007D3677" w:rsidRDefault="007B0F49" w:rsidP="007B0F49">
      <w:pPr>
        <w:tabs>
          <w:tab w:val="left" w:pos="6885"/>
        </w:tabs>
        <w:spacing w:before="100"/>
        <w:ind w:left="-993"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DAS DISPOSIÇÕES FINAIS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  <w:b/>
        </w:rPr>
      </w:pP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3</w:t>
      </w:r>
      <w:r w:rsidR="007D3677" w:rsidRPr="007D3677">
        <w:rPr>
          <w:rFonts w:ascii="Calibri" w:hAnsi="Calibri"/>
          <w:b/>
        </w:rPr>
        <w:t>3.</w:t>
      </w:r>
      <w:r w:rsidRPr="007D3677">
        <w:rPr>
          <w:rFonts w:ascii="Calibri" w:hAnsi="Calibri"/>
          <w:b/>
        </w:rPr>
        <w:t xml:space="preserve"> </w:t>
      </w:r>
      <w:r w:rsidRPr="007D3677">
        <w:rPr>
          <w:rFonts w:ascii="Calibri" w:hAnsi="Calibri"/>
        </w:rPr>
        <w:t>A despesa de competência de outros entes da Federação só será assumida pelo Município quando firmado convênio, acordo, ajuste ou outros instrumentos congêneres, previsto recurso na lei orçamentária e que visem ao desenvolvimento municipal.</w:t>
      </w:r>
    </w:p>
    <w:p w:rsidR="007B0F49" w:rsidRPr="007D3677" w:rsidRDefault="007D3677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34.</w:t>
      </w:r>
      <w:r w:rsidR="007B0F49" w:rsidRPr="007D3677">
        <w:rPr>
          <w:rFonts w:ascii="Calibri" w:hAnsi="Calibri"/>
          <w:b/>
        </w:rPr>
        <w:t xml:space="preserve"> </w:t>
      </w:r>
      <w:r w:rsidR="007B0F49" w:rsidRPr="007D3677">
        <w:rPr>
          <w:rFonts w:ascii="Calibri" w:hAnsi="Calibri"/>
        </w:rPr>
        <w:t xml:space="preserve">A Administração Municipal, tanto quanto possível, até a criação de estrutura adequada, deverá apropriar as despesas de forma a demonstrar os custos de cada ação governamental.  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3</w:t>
      </w:r>
      <w:r w:rsidR="007D3677" w:rsidRPr="007D3677">
        <w:rPr>
          <w:rFonts w:ascii="Calibri" w:hAnsi="Calibri"/>
          <w:b/>
        </w:rPr>
        <w:t>5.</w:t>
      </w:r>
      <w:r w:rsidRPr="007D3677">
        <w:rPr>
          <w:rFonts w:ascii="Calibri" w:hAnsi="Calibri"/>
        </w:rPr>
        <w:t xml:space="preserve"> A proposta Orçamentária do Município, relativa ao exercício de 20</w:t>
      </w:r>
      <w:r w:rsidR="007D3677" w:rsidRPr="007D3677">
        <w:rPr>
          <w:rFonts w:ascii="Calibri" w:hAnsi="Calibri"/>
        </w:rPr>
        <w:t>21</w:t>
      </w:r>
      <w:r w:rsidRPr="007D3677">
        <w:rPr>
          <w:rFonts w:ascii="Calibri" w:hAnsi="Calibri"/>
        </w:rPr>
        <w:t>, deverá ser elaborada de conformidade com o princípio de transparência dos atos de gestão, além dos princípios contábeis geralmente aceitos, a fim de garantir o livre acesso e participação dos cidadãos às informações relativas a elaboração, execução e acompanhamento do orçamento, inclusive na discussão em audiências públicas.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 xml:space="preserve">Parágrafo Único. </w:t>
      </w:r>
      <w:r w:rsidRPr="007D3677">
        <w:rPr>
          <w:rFonts w:ascii="Calibri" w:hAnsi="Calibri"/>
        </w:rPr>
        <w:t xml:space="preserve"> São instrumentos de transparências dos atos de gestão fiscal, aos quais será dada ampla divulgação, inclusive em meios eletrônicos de acesso público.</w:t>
      </w:r>
    </w:p>
    <w:p w:rsidR="007B0F49" w:rsidRPr="007D3677" w:rsidRDefault="007B0F49" w:rsidP="007B0F49">
      <w:pPr>
        <w:tabs>
          <w:tab w:val="left" w:pos="6885"/>
        </w:tabs>
        <w:spacing w:before="100"/>
        <w:jc w:val="both"/>
        <w:rPr>
          <w:rFonts w:ascii="Calibri" w:hAnsi="Calibri"/>
        </w:rPr>
      </w:pP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</w:rPr>
        <w:t xml:space="preserve">I- </w:t>
      </w:r>
      <w:r w:rsidR="00312F23">
        <w:rPr>
          <w:rFonts w:ascii="Calibri" w:hAnsi="Calibri"/>
        </w:rPr>
        <w:t xml:space="preserve">lei </w:t>
      </w:r>
      <w:r w:rsidRPr="007D3677">
        <w:rPr>
          <w:rFonts w:ascii="Calibri" w:hAnsi="Calibri"/>
        </w:rPr>
        <w:t>plano Plurianual, a Lei de diretrizes orçamentárias e o orçamento anual;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</w:rPr>
        <w:lastRenderedPageBreak/>
        <w:t>II- relatórios resumidos da execução orçamentária;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</w:rPr>
        <w:t>III- relatórios de gestão fiscal;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</w:rPr>
        <w:t>IV- balanço geral anual;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</w:rPr>
        <w:t>V- audiências públicas; e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</w:rPr>
        <w:t>VI- Leis, os decretos, as portarias e demais atos do executivo.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  <w:b/>
        </w:rPr>
      </w:pPr>
    </w:p>
    <w:p w:rsidR="0035473C" w:rsidRPr="0035473C" w:rsidRDefault="007D3677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36.</w:t>
      </w:r>
      <w:r w:rsidR="007B0F49" w:rsidRPr="007D3677">
        <w:rPr>
          <w:rFonts w:ascii="Calibri" w:hAnsi="Calibri"/>
          <w:b/>
        </w:rPr>
        <w:t xml:space="preserve"> </w:t>
      </w:r>
      <w:r w:rsidR="007B0F49" w:rsidRPr="007D3677">
        <w:rPr>
          <w:rFonts w:ascii="Calibri" w:hAnsi="Calibri"/>
        </w:rPr>
        <w:t>Caso o Projeto de Lei Orçamentária de 20</w:t>
      </w:r>
      <w:r w:rsidRPr="007D3677">
        <w:rPr>
          <w:rFonts w:ascii="Calibri" w:hAnsi="Calibri"/>
        </w:rPr>
        <w:t>21</w:t>
      </w:r>
      <w:r w:rsidR="007B0F49" w:rsidRPr="007D3677">
        <w:rPr>
          <w:rFonts w:ascii="Calibri" w:hAnsi="Calibri"/>
        </w:rPr>
        <w:t xml:space="preserve"> não seja devo</w:t>
      </w:r>
      <w:r w:rsidRPr="007D3677">
        <w:rPr>
          <w:rFonts w:ascii="Calibri" w:hAnsi="Calibri"/>
        </w:rPr>
        <w:t>lvido até 31 de dezembro de 2020</w:t>
      </w:r>
      <w:r w:rsidR="007B0F49" w:rsidRPr="007D3677">
        <w:rPr>
          <w:rFonts w:ascii="Calibri" w:hAnsi="Calibri"/>
        </w:rPr>
        <w:t xml:space="preserve"> ao Poder Executivo para sanção, até que o mesmo seja, a programação dele constante poderá ser executada à razão de 1/12 (um dose avos).</w:t>
      </w:r>
    </w:p>
    <w:p w:rsidR="007B0F49" w:rsidRPr="007D3677" w:rsidRDefault="007D3677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  <w:r w:rsidRPr="007D3677">
        <w:rPr>
          <w:rFonts w:ascii="Calibri" w:hAnsi="Calibri"/>
          <w:b/>
        </w:rPr>
        <w:t>Art. 37.</w:t>
      </w:r>
      <w:r w:rsidR="007B0F49" w:rsidRPr="007D3677">
        <w:rPr>
          <w:rFonts w:ascii="Calibri" w:hAnsi="Calibri"/>
          <w:b/>
        </w:rPr>
        <w:t xml:space="preserve"> </w:t>
      </w:r>
      <w:r w:rsidR="007B0F49" w:rsidRPr="007D3677">
        <w:rPr>
          <w:rFonts w:ascii="Calibri" w:hAnsi="Calibri"/>
        </w:rPr>
        <w:t>Esta Lei entra em vigor na data de sua publicação.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both"/>
        <w:rPr>
          <w:rFonts w:ascii="Calibri" w:hAnsi="Calibri"/>
        </w:rPr>
      </w:pPr>
    </w:p>
    <w:p w:rsidR="007B0F49" w:rsidRDefault="007B0F49" w:rsidP="007B0F49">
      <w:pPr>
        <w:tabs>
          <w:tab w:val="left" w:pos="6885"/>
        </w:tabs>
        <w:spacing w:before="100"/>
        <w:ind w:firstLine="851"/>
        <w:jc w:val="center"/>
        <w:rPr>
          <w:rFonts w:ascii="Calibri" w:hAnsi="Calibri"/>
        </w:rPr>
      </w:pPr>
    </w:p>
    <w:p w:rsidR="0035473C" w:rsidRPr="007D3677" w:rsidRDefault="0035473C" w:rsidP="007B0F49">
      <w:pPr>
        <w:tabs>
          <w:tab w:val="left" w:pos="6885"/>
        </w:tabs>
        <w:spacing w:before="100"/>
        <w:ind w:firstLine="851"/>
        <w:jc w:val="center"/>
        <w:rPr>
          <w:rFonts w:ascii="Calibri" w:hAnsi="Calibri"/>
        </w:rPr>
      </w:pP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center"/>
        <w:rPr>
          <w:rFonts w:ascii="Calibri" w:hAnsi="Calibri"/>
        </w:rPr>
      </w:pPr>
      <w:r w:rsidRPr="007D3677">
        <w:rPr>
          <w:rFonts w:ascii="Calibri" w:hAnsi="Calibri"/>
        </w:rPr>
        <w:t>Santa Bárbara do Monte Verde,</w:t>
      </w:r>
      <w:r w:rsidR="007D3677" w:rsidRPr="007D3677">
        <w:rPr>
          <w:rFonts w:ascii="Calibri" w:hAnsi="Calibri"/>
        </w:rPr>
        <w:t xml:space="preserve"> 09 de junho de 2020</w:t>
      </w:r>
      <w:r w:rsidRPr="007D3677">
        <w:rPr>
          <w:rFonts w:ascii="Calibri" w:hAnsi="Calibri"/>
        </w:rPr>
        <w:t>.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center"/>
        <w:rPr>
          <w:rFonts w:ascii="Calibri" w:hAnsi="Calibri"/>
        </w:rPr>
      </w:pPr>
    </w:p>
    <w:p w:rsidR="007B0F49" w:rsidRPr="007D3677" w:rsidRDefault="007B0F49" w:rsidP="007B0F49">
      <w:pPr>
        <w:spacing w:before="100"/>
        <w:jc w:val="center"/>
        <w:rPr>
          <w:rFonts w:ascii="Calibri" w:hAnsi="Calibri"/>
        </w:rPr>
      </w:pPr>
      <w:r w:rsidRPr="007D3677">
        <w:rPr>
          <w:rFonts w:ascii="Calibri" w:hAnsi="Calibri"/>
        </w:rPr>
        <w:t>Ismael Teixeira de Paiva</w:t>
      </w:r>
    </w:p>
    <w:p w:rsidR="007B0F49" w:rsidRPr="007D3677" w:rsidRDefault="007B0F49" w:rsidP="007B0F49">
      <w:pPr>
        <w:spacing w:before="100"/>
        <w:jc w:val="center"/>
        <w:rPr>
          <w:rFonts w:ascii="Calibri" w:hAnsi="Calibri"/>
        </w:rPr>
      </w:pPr>
      <w:r w:rsidRPr="007D3677">
        <w:rPr>
          <w:rFonts w:ascii="Calibri" w:hAnsi="Calibri"/>
        </w:rPr>
        <w:t>Prefeito Municipal</w:t>
      </w: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center"/>
        <w:rPr>
          <w:rFonts w:ascii="Calibri" w:hAnsi="Calibri"/>
        </w:rPr>
      </w:pPr>
    </w:p>
    <w:p w:rsidR="007B0F49" w:rsidRPr="007D3677" w:rsidRDefault="007B0F49" w:rsidP="007B0F49">
      <w:pPr>
        <w:tabs>
          <w:tab w:val="left" w:pos="6885"/>
        </w:tabs>
        <w:spacing w:before="100"/>
        <w:ind w:firstLine="851"/>
        <w:jc w:val="center"/>
        <w:rPr>
          <w:rFonts w:ascii="Calibri" w:hAnsi="Calibri"/>
        </w:rPr>
      </w:pPr>
    </w:p>
    <w:p w:rsidR="007B0F49" w:rsidRPr="007D3677" w:rsidRDefault="007B0F49" w:rsidP="00F0019E">
      <w:pPr>
        <w:spacing w:after="0" w:line="360" w:lineRule="auto"/>
        <w:ind w:firstLine="426"/>
        <w:jc w:val="both"/>
        <w:rPr>
          <w:rFonts w:ascii="Calibri" w:hAnsi="Calibri" w:cs="Arial"/>
          <w:b/>
        </w:rPr>
      </w:pPr>
    </w:p>
    <w:p w:rsidR="00D609FA" w:rsidRPr="007D3677" w:rsidRDefault="00D609FA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0019E" w:rsidRPr="007D3677" w:rsidRDefault="00F0019E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172E72" w:rsidRPr="007D3677" w:rsidRDefault="00172E72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172E72" w:rsidRPr="007D3677" w:rsidRDefault="00172E72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172E72" w:rsidRPr="007D3677" w:rsidRDefault="00172E72" w:rsidP="00F0019E">
      <w:pPr>
        <w:spacing w:after="0" w:line="360" w:lineRule="auto"/>
        <w:ind w:firstLine="426"/>
        <w:jc w:val="both"/>
        <w:rPr>
          <w:rFonts w:ascii="Calibri" w:hAnsi="Calibri" w:cs="Arial"/>
        </w:rPr>
      </w:pPr>
    </w:p>
    <w:p w:rsidR="00FA27F6" w:rsidRPr="007D3677" w:rsidRDefault="00FA27F6" w:rsidP="00F0019E">
      <w:pPr>
        <w:spacing w:after="0" w:line="360" w:lineRule="auto"/>
        <w:ind w:firstLine="426"/>
        <w:rPr>
          <w:rFonts w:ascii="Calibri" w:hAnsi="Calibri" w:cs="Arial"/>
        </w:rPr>
      </w:pPr>
    </w:p>
    <w:sectPr w:rsidR="00FA27F6" w:rsidRPr="007D3677" w:rsidSect="0035473C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8338B"/>
    <w:rsid w:val="000273E8"/>
    <w:rsid w:val="00095BE1"/>
    <w:rsid w:val="00172E72"/>
    <w:rsid w:val="00182570"/>
    <w:rsid w:val="00302CFE"/>
    <w:rsid w:val="00312F23"/>
    <w:rsid w:val="00322E19"/>
    <w:rsid w:val="0035473C"/>
    <w:rsid w:val="0038222C"/>
    <w:rsid w:val="004D71BA"/>
    <w:rsid w:val="005B5E03"/>
    <w:rsid w:val="0062665B"/>
    <w:rsid w:val="00687EA1"/>
    <w:rsid w:val="007B0F49"/>
    <w:rsid w:val="007D3677"/>
    <w:rsid w:val="007D5539"/>
    <w:rsid w:val="00A13A69"/>
    <w:rsid w:val="00A22EDF"/>
    <w:rsid w:val="00A73882"/>
    <w:rsid w:val="00B47523"/>
    <w:rsid w:val="00BC6192"/>
    <w:rsid w:val="00C02543"/>
    <w:rsid w:val="00C40389"/>
    <w:rsid w:val="00C8338B"/>
    <w:rsid w:val="00C8452D"/>
    <w:rsid w:val="00CC4525"/>
    <w:rsid w:val="00CD56E6"/>
    <w:rsid w:val="00D609FA"/>
    <w:rsid w:val="00F0019E"/>
    <w:rsid w:val="00F210C8"/>
    <w:rsid w:val="00F5163A"/>
    <w:rsid w:val="00F57C05"/>
    <w:rsid w:val="00F62F2F"/>
    <w:rsid w:val="00FA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BD6B-B36B-45EB-B417-9B221FD1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2872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2020-06-17T11:34:00Z</cp:lastPrinted>
  <dcterms:created xsi:type="dcterms:W3CDTF">2020-06-16T15:01:00Z</dcterms:created>
  <dcterms:modified xsi:type="dcterms:W3CDTF">2020-06-17T11:35:00Z</dcterms:modified>
</cp:coreProperties>
</file>